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Answer each question with what you know about Physical Literacy: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Physical Literacy is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 xml:space="preserve">2. Has knowing about physical literacy helped your confidence in gym class? </w:t>
      </w:r>
    </w:p>
    <w:p>
      <w:pPr>
        <w:pStyle w:val="Body"/>
        <w:bidi w:val="0"/>
      </w:pPr>
      <w:r>
        <w:rPr>
          <w:rtl w:val="0"/>
        </w:rPr>
        <w:t xml:space="preserve">    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>3. One way that my increased physical literacy has helped to improve our leadership skills is</w:t>
      </w:r>
      <w:r>
        <w:rPr>
          <w:rtl w:val="0"/>
        </w:rPr>
        <w:t>…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>4. One way that my increased physical literacy has made me more accountable is..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One way that my increased physical literacy has helped my teamwork skills is</w:t>
      </w:r>
      <w:r>
        <w:rPr>
          <w:rtl w:val="0"/>
        </w:rPr>
        <w:t>…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6. Other leadership skills that I have learned are used in physical literacy and physical activity are: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>7. Do you find it easier to focus in the classroom after gym class?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Professional Inquiry Project Final Survey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